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B947" w14:textId="6105D978" w:rsidR="00CF6116" w:rsidRPr="00816A8F" w:rsidRDefault="00FD1E09" w:rsidP="00816A8F">
      <w:pPr>
        <w:jc w:val="both"/>
        <w:rPr>
          <w:rFonts w:ascii="Calibri" w:eastAsia="Calibri" w:hAnsi="Calibri"/>
          <w:b/>
          <w:bCs/>
        </w:rPr>
      </w:pPr>
      <w:r w:rsidRPr="00816A8F">
        <w:rPr>
          <w:rFonts w:ascii="Calibri" w:eastAsia="Calibri" w:hAnsi="Calibri"/>
          <w:b/>
          <w:bCs/>
        </w:rPr>
        <w:t xml:space="preserve">This </w:t>
      </w:r>
      <w:r w:rsidR="003F0847" w:rsidRPr="00816A8F">
        <w:rPr>
          <w:rFonts w:ascii="Calibri" w:eastAsia="Calibri" w:hAnsi="Calibri"/>
          <w:b/>
          <w:bCs/>
        </w:rPr>
        <w:t xml:space="preserve">will help Leaders and </w:t>
      </w:r>
      <w:r w:rsidR="00F66F8E" w:rsidRPr="00816A8F">
        <w:rPr>
          <w:rFonts w:ascii="Calibri" w:eastAsia="Calibri" w:hAnsi="Calibri"/>
          <w:b/>
          <w:bCs/>
        </w:rPr>
        <w:t>staff</w:t>
      </w:r>
      <w:r w:rsidR="003F0847" w:rsidRPr="00816A8F">
        <w:rPr>
          <w:rFonts w:ascii="Calibri" w:eastAsia="Calibri" w:hAnsi="Calibri"/>
          <w:b/>
          <w:bCs/>
        </w:rPr>
        <w:t xml:space="preserve"> with their questions</w:t>
      </w:r>
      <w:r w:rsidR="00577E50" w:rsidRPr="00816A8F">
        <w:rPr>
          <w:rFonts w:ascii="Calibri" w:eastAsia="Calibri" w:hAnsi="Calibri"/>
          <w:b/>
          <w:bCs/>
        </w:rPr>
        <w:t xml:space="preserve"> regarding HealthStream assignments.</w:t>
      </w:r>
    </w:p>
    <w:tbl>
      <w:tblPr>
        <w:tblStyle w:val="TableGrid"/>
        <w:tblW w:w="12060" w:type="dxa"/>
        <w:tblInd w:w="-1355" w:type="dxa"/>
        <w:tblLook w:val="04A0" w:firstRow="1" w:lastRow="0" w:firstColumn="1" w:lastColumn="0" w:noHBand="0" w:noVBand="1"/>
      </w:tblPr>
      <w:tblGrid>
        <w:gridCol w:w="2880"/>
        <w:gridCol w:w="9180"/>
      </w:tblGrid>
      <w:tr w:rsidR="003F0847" w14:paraId="30365319" w14:textId="77777777" w:rsidTr="006B1FE4">
        <w:tc>
          <w:tcPr>
            <w:tcW w:w="2880" w:type="dxa"/>
            <w:vAlign w:val="center"/>
          </w:tcPr>
          <w:p w14:paraId="08A46069" w14:textId="3EA87CA9" w:rsidR="003F0847" w:rsidRPr="00F71DE4" w:rsidRDefault="003F0847" w:rsidP="00FD1E09">
            <w:pPr>
              <w:jc w:val="center"/>
              <w:rPr>
                <w:rFonts w:ascii="Calibri" w:eastAsia="Calibri" w:hAnsi="Calibri"/>
                <w:b/>
                <w:bCs/>
              </w:rPr>
            </w:pPr>
            <w:r>
              <w:rPr>
                <w:rFonts w:ascii="Calibri" w:eastAsia="Calibri" w:hAnsi="Calibri"/>
                <w:b/>
                <w:bCs/>
              </w:rPr>
              <w:t>Question</w:t>
            </w:r>
          </w:p>
        </w:tc>
        <w:tc>
          <w:tcPr>
            <w:tcW w:w="9180" w:type="dxa"/>
            <w:vAlign w:val="center"/>
          </w:tcPr>
          <w:p w14:paraId="25135B03" w14:textId="1245F4B5" w:rsidR="003F0847" w:rsidRPr="00F71DE4" w:rsidRDefault="003F0847" w:rsidP="00FD1E09">
            <w:pPr>
              <w:jc w:val="center"/>
              <w:rPr>
                <w:rFonts w:ascii="Calibri" w:eastAsia="Calibri" w:hAnsi="Calibri"/>
                <w:b/>
                <w:bCs/>
              </w:rPr>
            </w:pPr>
            <w:r>
              <w:rPr>
                <w:rFonts w:ascii="Calibri" w:eastAsia="Calibri" w:hAnsi="Calibri"/>
                <w:b/>
                <w:bCs/>
              </w:rPr>
              <w:t>Answer</w:t>
            </w:r>
          </w:p>
        </w:tc>
      </w:tr>
      <w:tr w:rsidR="00603CAA" w14:paraId="24A06675" w14:textId="77777777" w:rsidTr="00154138">
        <w:trPr>
          <w:trHeight w:val="1178"/>
        </w:trPr>
        <w:tc>
          <w:tcPr>
            <w:tcW w:w="2880" w:type="dxa"/>
            <w:shd w:val="clear" w:color="auto" w:fill="95B3D7" w:themeFill="accent1" w:themeFillTint="99"/>
          </w:tcPr>
          <w:p w14:paraId="2F1EA09A" w14:textId="2C18A471" w:rsidR="00603CAA" w:rsidRPr="0015307D" w:rsidRDefault="00603CAA" w:rsidP="00BB6357">
            <w:pPr>
              <w:rPr>
                <w:rFonts w:ascii="Calibri" w:eastAsia="Calibri" w:hAnsi="Calibri"/>
                <w:sz w:val="22"/>
                <w:szCs w:val="22"/>
              </w:rPr>
            </w:pPr>
            <w:r w:rsidRPr="0015307D">
              <w:rPr>
                <w:rFonts w:ascii="Calibri" w:eastAsia="Calibri" w:hAnsi="Calibri"/>
                <w:b/>
                <w:bCs/>
                <w:sz w:val="22"/>
                <w:szCs w:val="22"/>
              </w:rPr>
              <w:t>Who decides what gets assigned in HealthStream?</w:t>
            </w:r>
          </w:p>
        </w:tc>
        <w:tc>
          <w:tcPr>
            <w:tcW w:w="9180" w:type="dxa"/>
            <w:shd w:val="clear" w:color="auto" w:fill="95B3D7" w:themeFill="accent1" w:themeFillTint="99"/>
          </w:tcPr>
          <w:p w14:paraId="45040877" w14:textId="48695732" w:rsidR="00603CAA" w:rsidRPr="0015307D" w:rsidRDefault="00603CAA" w:rsidP="00577E50">
            <w:pPr>
              <w:rPr>
                <w:rFonts w:ascii="Calibri" w:eastAsia="Calibri" w:hAnsi="Calibri"/>
                <w:sz w:val="22"/>
                <w:szCs w:val="22"/>
              </w:rPr>
            </w:pPr>
            <w:r w:rsidRPr="0015307D">
              <w:rPr>
                <w:rFonts w:ascii="Calibri" w:eastAsia="Calibri" w:hAnsi="Calibri"/>
                <w:sz w:val="22"/>
                <w:szCs w:val="22"/>
              </w:rPr>
              <w:t xml:space="preserve">Many courses are assigned because the content is mandated by a regulatory body such as the Joint Commission, CMS, or OSHA. Other assignments are based on an Aspirus initiative or quality improvement efforts. Aspirus leaders are accountable for regulatory compliance and authorize the assignments. </w:t>
            </w:r>
          </w:p>
        </w:tc>
      </w:tr>
      <w:tr w:rsidR="00F56DF4" w14:paraId="2F58B4D2" w14:textId="77777777" w:rsidTr="005B05F1">
        <w:trPr>
          <w:trHeight w:val="1142"/>
        </w:trPr>
        <w:tc>
          <w:tcPr>
            <w:tcW w:w="2880" w:type="dxa"/>
            <w:shd w:val="clear" w:color="auto" w:fill="DAEEF3" w:themeFill="accent5" w:themeFillTint="33"/>
          </w:tcPr>
          <w:p w14:paraId="2D5D92BC" w14:textId="36713D21" w:rsidR="00F56DF4" w:rsidRPr="0015307D" w:rsidRDefault="00F56DF4" w:rsidP="00F56DF4">
            <w:pPr>
              <w:rPr>
                <w:rFonts w:ascii="Calibri" w:eastAsia="Calibri" w:hAnsi="Calibri"/>
                <w:b/>
                <w:bCs/>
                <w:sz w:val="22"/>
                <w:szCs w:val="22"/>
              </w:rPr>
            </w:pPr>
            <w:r w:rsidRPr="0015307D">
              <w:rPr>
                <w:rFonts w:ascii="Calibri" w:eastAsia="Calibri" w:hAnsi="Calibri"/>
                <w:b/>
                <w:bCs/>
                <w:sz w:val="22"/>
                <w:szCs w:val="22"/>
              </w:rPr>
              <w:t xml:space="preserve">Why </w:t>
            </w:r>
            <w:r>
              <w:rPr>
                <w:rFonts w:ascii="Calibri" w:eastAsia="Calibri" w:hAnsi="Calibri"/>
                <w:b/>
                <w:bCs/>
                <w:sz w:val="22"/>
                <w:szCs w:val="22"/>
              </w:rPr>
              <w:t xml:space="preserve">do I have courses assigned </w:t>
            </w:r>
            <w:r w:rsidRPr="0015307D">
              <w:rPr>
                <w:rFonts w:ascii="Calibri" w:eastAsia="Calibri" w:hAnsi="Calibri"/>
                <w:b/>
                <w:bCs/>
                <w:sz w:val="22"/>
                <w:szCs w:val="22"/>
              </w:rPr>
              <w:t>that say patient facing or clinical when I don’t work in a role caring for patients?</w:t>
            </w:r>
          </w:p>
        </w:tc>
        <w:tc>
          <w:tcPr>
            <w:tcW w:w="9180" w:type="dxa"/>
            <w:shd w:val="clear" w:color="auto" w:fill="DAEEF3" w:themeFill="accent5" w:themeFillTint="33"/>
          </w:tcPr>
          <w:p w14:paraId="6D16919C" w14:textId="77777777" w:rsidR="00F56DF4" w:rsidRPr="0015307D" w:rsidRDefault="00F56DF4" w:rsidP="00F56DF4">
            <w:pPr>
              <w:rPr>
                <w:rFonts w:ascii="Calibri" w:eastAsia="Calibri" w:hAnsi="Calibri"/>
                <w:sz w:val="22"/>
                <w:szCs w:val="22"/>
              </w:rPr>
            </w:pPr>
            <w:r w:rsidRPr="0015307D">
              <w:rPr>
                <w:rFonts w:ascii="Calibri" w:eastAsia="Calibri" w:hAnsi="Calibri"/>
                <w:sz w:val="22"/>
                <w:szCs w:val="22"/>
              </w:rPr>
              <w:t xml:space="preserve">As a healthcare system, the content has been reviewed by Leaders and Subject Matter Experts to identify and meet regulatory standards for </w:t>
            </w:r>
            <w:r w:rsidRPr="0015307D">
              <w:rPr>
                <w:rFonts w:ascii="Calibri" w:eastAsia="Calibri" w:hAnsi="Calibri"/>
                <w:sz w:val="22"/>
                <w:szCs w:val="22"/>
                <w:u w:val="single"/>
              </w:rPr>
              <w:t>ALL</w:t>
            </w:r>
            <w:r w:rsidRPr="0015307D">
              <w:rPr>
                <w:rFonts w:ascii="Calibri" w:eastAsia="Calibri" w:hAnsi="Calibri"/>
                <w:sz w:val="22"/>
                <w:szCs w:val="22"/>
              </w:rPr>
              <w:t xml:space="preserve"> employees. </w:t>
            </w:r>
          </w:p>
          <w:p w14:paraId="15DD01E3" w14:textId="77777777" w:rsidR="00F56DF4" w:rsidRPr="0015307D" w:rsidRDefault="00F56DF4" w:rsidP="00F56DF4">
            <w:pPr>
              <w:rPr>
                <w:rFonts w:ascii="Calibri" w:eastAsia="Calibri" w:hAnsi="Calibri"/>
                <w:sz w:val="22"/>
                <w:szCs w:val="22"/>
              </w:rPr>
            </w:pPr>
          </w:p>
          <w:p w14:paraId="79D3044B" w14:textId="5A9E30D0" w:rsidR="00F56DF4" w:rsidRPr="0015307D" w:rsidRDefault="00F56DF4" w:rsidP="00F56DF4">
            <w:pPr>
              <w:rPr>
                <w:rFonts w:ascii="Calibri" w:eastAsia="Calibri" w:hAnsi="Calibri"/>
                <w:sz w:val="22"/>
                <w:szCs w:val="22"/>
              </w:rPr>
            </w:pPr>
            <w:r w:rsidRPr="0015307D">
              <w:rPr>
                <w:rFonts w:ascii="Calibri" w:eastAsia="Calibri" w:hAnsi="Calibri"/>
                <w:sz w:val="22"/>
                <w:szCs w:val="22"/>
              </w:rPr>
              <w:t>Aspirus utilizes courses created by HealthStream and we are unable to change the titles.</w:t>
            </w:r>
          </w:p>
        </w:tc>
      </w:tr>
      <w:tr w:rsidR="003E1796" w14:paraId="1EDFCA69" w14:textId="77777777" w:rsidTr="00154138">
        <w:trPr>
          <w:trHeight w:val="1142"/>
        </w:trPr>
        <w:tc>
          <w:tcPr>
            <w:tcW w:w="2880" w:type="dxa"/>
            <w:shd w:val="clear" w:color="auto" w:fill="95B3D7" w:themeFill="accent1" w:themeFillTint="99"/>
          </w:tcPr>
          <w:p w14:paraId="3EFC8A9C" w14:textId="77777777" w:rsidR="003E1796" w:rsidRPr="0015307D" w:rsidRDefault="003E1796" w:rsidP="003E1796">
            <w:pPr>
              <w:rPr>
                <w:rFonts w:ascii="Calibri" w:eastAsia="Calibri" w:hAnsi="Calibri"/>
                <w:b/>
                <w:bCs/>
                <w:sz w:val="22"/>
                <w:szCs w:val="22"/>
              </w:rPr>
            </w:pPr>
            <w:r w:rsidRPr="0015307D">
              <w:rPr>
                <w:rFonts w:ascii="Calibri" w:eastAsia="Calibri" w:hAnsi="Calibri"/>
                <w:b/>
                <w:bCs/>
                <w:sz w:val="22"/>
                <w:szCs w:val="22"/>
              </w:rPr>
              <w:t>How does HealthStream know who to assign which courses to?</w:t>
            </w:r>
          </w:p>
          <w:p w14:paraId="6B9EDA3C" w14:textId="77777777" w:rsidR="003E1796" w:rsidRPr="0015307D" w:rsidRDefault="003E1796" w:rsidP="003E1796">
            <w:pPr>
              <w:rPr>
                <w:rFonts w:ascii="Calibri" w:eastAsia="Calibri" w:hAnsi="Calibri"/>
                <w:b/>
                <w:bCs/>
                <w:sz w:val="22"/>
                <w:szCs w:val="22"/>
              </w:rPr>
            </w:pPr>
          </w:p>
        </w:tc>
        <w:tc>
          <w:tcPr>
            <w:tcW w:w="9180" w:type="dxa"/>
            <w:shd w:val="clear" w:color="auto" w:fill="95B3D7" w:themeFill="accent1" w:themeFillTint="99"/>
          </w:tcPr>
          <w:p w14:paraId="48271866" w14:textId="795E4D4C" w:rsidR="003E1796" w:rsidRPr="0015307D" w:rsidRDefault="003E1796" w:rsidP="003E1796">
            <w:pPr>
              <w:rPr>
                <w:rFonts w:ascii="Calibri" w:eastAsia="Calibri" w:hAnsi="Calibri"/>
                <w:sz w:val="22"/>
                <w:szCs w:val="22"/>
              </w:rPr>
            </w:pPr>
            <w:r w:rsidRPr="0015307D">
              <w:rPr>
                <w:rFonts w:ascii="Calibri" w:eastAsia="Calibri" w:hAnsi="Calibri"/>
                <w:sz w:val="22"/>
                <w:szCs w:val="22"/>
              </w:rPr>
              <w:t>Assignments are made by department and role, e.g., all RNs, CNAs, Surgical Techs across the system. GHR is the Human Resources application that is updated as staff departments and roles change. Each business day, GHR updates HealthStream and assignments are adjusted automatically based on any department or role changes.</w:t>
            </w:r>
          </w:p>
        </w:tc>
      </w:tr>
      <w:tr w:rsidR="003E1796" w14:paraId="357E01DE" w14:textId="77777777" w:rsidTr="003E1796">
        <w:trPr>
          <w:trHeight w:val="1142"/>
        </w:trPr>
        <w:tc>
          <w:tcPr>
            <w:tcW w:w="2880" w:type="dxa"/>
            <w:shd w:val="clear" w:color="auto" w:fill="DAEEF3" w:themeFill="accent5" w:themeFillTint="33"/>
          </w:tcPr>
          <w:p w14:paraId="5693351E" w14:textId="1C6E6C23" w:rsidR="003E1796" w:rsidRPr="0015307D" w:rsidRDefault="003E1796" w:rsidP="003E1796">
            <w:pPr>
              <w:rPr>
                <w:rFonts w:ascii="Calibri" w:eastAsia="Calibri" w:hAnsi="Calibri"/>
                <w:b/>
                <w:bCs/>
                <w:sz w:val="22"/>
                <w:szCs w:val="22"/>
              </w:rPr>
            </w:pPr>
            <w:r w:rsidRPr="0015307D">
              <w:rPr>
                <w:rFonts w:ascii="Calibri" w:eastAsia="Calibri" w:hAnsi="Calibri"/>
                <w:b/>
                <w:bCs/>
                <w:sz w:val="22"/>
                <w:szCs w:val="22"/>
              </w:rPr>
              <w:t>How does my 2</w:t>
            </w:r>
            <w:r w:rsidRPr="0015307D">
              <w:rPr>
                <w:rFonts w:ascii="Calibri" w:eastAsia="Calibri" w:hAnsi="Calibri"/>
                <w:b/>
                <w:bCs/>
                <w:sz w:val="22"/>
                <w:szCs w:val="22"/>
                <w:vertAlign w:val="superscript"/>
              </w:rPr>
              <w:t>nd</w:t>
            </w:r>
            <w:r w:rsidRPr="0015307D">
              <w:rPr>
                <w:rFonts w:ascii="Calibri" w:eastAsia="Calibri" w:hAnsi="Calibri"/>
                <w:b/>
                <w:bCs/>
                <w:sz w:val="22"/>
                <w:szCs w:val="22"/>
              </w:rPr>
              <w:t xml:space="preserve"> position affect my assignments?</w:t>
            </w:r>
          </w:p>
        </w:tc>
        <w:tc>
          <w:tcPr>
            <w:tcW w:w="9180" w:type="dxa"/>
            <w:shd w:val="clear" w:color="auto" w:fill="DAEEF3" w:themeFill="accent5" w:themeFillTint="33"/>
          </w:tcPr>
          <w:p w14:paraId="686994CA" w14:textId="23FDEE28" w:rsidR="003E1796" w:rsidRPr="0015307D" w:rsidRDefault="003E1796" w:rsidP="003E1796">
            <w:pPr>
              <w:rPr>
                <w:rFonts w:ascii="Calibri" w:eastAsia="Calibri" w:hAnsi="Calibri"/>
                <w:sz w:val="22"/>
                <w:szCs w:val="22"/>
              </w:rPr>
            </w:pPr>
            <w:r w:rsidRPr="0015307D">
              <w:rPr>
                <w:rFonts w:ascii="Calibri" w:eastAsia="Calibri" w:hAnsi="Calibri"/>
                <w:sz w:val="22"/>
                <w:szCs w:val="22"/>
              </w:rPr>
              <w:t>When an individual has a 2</w:t>
            </w:r>
            <w:r w:rsidRPr="0015307D">
              <w:rPr>
                <w:rFonts w:ascii="Calibri" w:eastAsia="Calibri" w:hAnsi="Calibri"/>
                <w:sz w:val="22"/>
                <w:szCs w:val="22"/>
                <w:vertAlign w:val="superscript"/>
              </w:rPr>
              <w:t>nd</w:t>
            </w:r>
            <w:r w:rsidRPr="0015307D">
              <w:rPr>
                <w:rFonts w:ascii="Calibri" w:eastAsia="Calibri" w:hAnsi="Calibri"/>
                <w:sz w:val="22"/>
                <w:szCs w:val="22"/>
              </w:rPr>
              <w:t xml:space="preserve"> position, which is documented in GHR, assignments are generated for that department and role. If the individual no longer wants to work in that role, the manager needs to remove the role from GHR by working with HR. HealthStream assignments will automatically update </w:t>
            </w:r>
            <w:r>
              <w:rPr>
                <w:rFonts w:ascii="Calibri" w:eastAsia="Calibri" w:hAnsi="Calibri"/>
                <w:sz w:val="22"/>
                <w:szCs w:val="22"/>
              </w:rPr>
              <w:t>as</w:t>
            </w:r>
            <w:r w:rsidRPr="0015307D">
              <w:rPr>
                <w:rFonts w:ascii="Calibri" w:eastAsia="Calibri" w:hAnsi="Calibri"/>
                <w:sz w:val="22"/>
                <w:szCs w:val="22"/>
              </w:rPr>
              <w:t xml:space="preserve"> GHR is updated.</w:t>
            </w:r>
          </w:p>
        </w:tc>
      </w:tr>
      <w:tr w:rsidR="003E1796" w14:paraId="1FC895CD" w14:textId="77777777" w:rsidTr="00154138">
        <w:tc>
          <w:tcPr>
            <w:tcW w:w="2880" w:type="dxa"/>
            <w:shd w:val="clear" w:color="auto" w:fill="95B3D7" w:themeFill="accent1" w:themeFillTint="99"/>
          </w:tcPr>
          <w:p w14:paraId="35D776CC" w14:textId="2C080764" w:rsidR="003E1796" w:rsidRPr="00F56DF4" w:rsidRDefault="003E1796" w:rsidP="003E1796">
            <w:pPr>
              <w:rPr>
                <w:rFonts w:ascii="Calibri" w:eastAsia="Calibri" w:hAnsi="Calibri"/>
                <w:b/>
                <w:bCs/>
                <w:sz w:val="22"/>
                <w:szCs w:val="22"/>
                <w:u w:val="single"/>
              </w:rPr>
            </w:pPr>
            <w:r w:rsidRPr="00F56DF4">
              <w:rPr>
                <w:rFonts w:ascii="Calibri" w:eastAsia="Calibri" w:hAnsi="Calibri"/>
                <w:b/>
                <w:bCs/>
                <w:sz w:val="22"/>
                <w:szCs w:val="22"/>
                <w:u w:val="single"/>
              </w:rPr>
              <w:t>Transfers</w:t>
            </w:r>
            <w:r>
              <w:rPr>
                <w:rFonts w:ascii="Calibri" w:eastAsia="Calibri" w:hAnsi="Calibri"/>
                <w:b/>
                <w:bCs/>
                <w:sz w:val="22"/>
                <w:szCs w:val="22"/>
                <w:u w:val="single"/>
              </w:rPr>
              <w:t xml:space="preserve">: Assignment Delays </w:t>
            </w:r>
          </w:p>
          <w:p w14:paraId="4FBA8731" w14:textId="6B65A77E" w:rsidR="003E1796" w:rsidRPr="0015307D" w:rsidRDefault="003E1796" w:rsidP="003E1796">
            <w:pPr>
              <w:rPr>
                <w:rFonts w:ascii="Calibri" w:eastAsia="Calibri" w:hAnsi="Calibri"/>
                <w:b/>
                <w:bCs/>
                <w:sz w:val="22"/>
                <w:szCs w:val="22"/>
              </w:rPr>
            </w:pPr>
            <w:r w:rsidRPr="0015307D">
              <w:rPr>
                <w:rFonts w:ascii="Calibri" w:eastAsia="Calibri" w:hAnsi="Calibri"/>
                <w:b/>
                <w:bCs/>
                <w:sz w:val="22"/>
                <w:szCs w:val="22"/>
              </w:rPr>
              <w:t xml:space="preserve">What happens when someone transfers from one department to another? </w:t>
            </w:r>
          </w:p>
          <w:p w14:paraId="037D0DD9" w14:textId="12AA18AB" w:rsidR="003E1796" w:rsidRPr="0015307D" w:rsidRDefault="003E1796" w:rsidP="003E1796">
            <w:pPr>
              <w:rPr>
                <w:rFonts w:ascii="Calibri" w:eastAsia="Calibri" w:hAnsi="Calibri"/>
                <w:sz w:val="22"/>
                <w:szCs w:val="22"/>
              </w:rPr>
            </w:pPr>
          </w:p>
        </w:tc>
        <w:tc>
          <w:tcPr>
            <w:tcW w:w="9180" w:type="dxa"/>
            <w:shd w:val="clear" w:color="auto" w:fill="95B3D7" w:themeFill="accent1" w:themeFillTint="99"/>
          </w:tcPr>
          <w:p w14:paraId="6F88DEDF" w14:textId="727CED80" w:rsidR="003E1796" w:rsidRPr="0015307D" w:rsidRDefault="003E1796" w:rsidP="003E1796">
            <w:pPr>
              <w:rPr>
                <w:rFonts w:ascii="Calibri" w:eastAsia="Calibri" w:hAnsi="Calibri"/>
                <w:sz w:val="22"/>
                <w:szCs w:val="22"/>
              </w:rPr>
            </w:pPr>
            <w:r w:rsidRPr="0015307D">
              <w:rPr>
                <w:rFonts w:ascii="Calibri" w:eastAsia="Calibri" w:hAnsi="Calibri"/>
                <w:sz w:val="22"/>
                <w:szCs w:val="22"/>
              </w:rPr>
              <w:t>When an individual transfers to a new department, for payroll GHR needs to “hold” them in their old department until they are done paying them. This will delay HealthStream assignments for their new department for 1-4 weeks based on payroll timing. Once the individual is paid in their old department GHR is updated with their new department information</w:t>
            </w:r>
            <w:r>
              <w:rPr>
                <w:rFonts w:ascii="Calibri" w:eastAsia="Calibri" w:hAnsi="Calibri"/>
                <w:sz w:val="22"/>
                <w:szCs w:val="22"/>
              </w:rPr>
              <w:t xml:space="preserve">. </w:t>
            </w:r>
            <w:r w:rsidRPr="0015307D">
              <w:rPr>
                <w:rFonts w:ascii="Calibri" w:eastAsia="Calibri" w:hAnsi="Calibri"/>
                <w:sz w:val="22"/>
                <w:szCs w:val="22"/>
              </w:rPr>
              <w:t>HealthStream assignments are updated to the new department</w:t>
            </w:r>
            <w:r>
              <w:rPr>
                <w:rFonts w:ascii="Calibri" w:eastAsia="Calibri" w:hAnsi="Calibri"/>
                <w:sz w:val="22"/>
                <w:szCs w:val="22"/>
              </w:rPr>
              <w:t xml:space="preserve"> and </w:t>
            </w:r>
            <w:r w:rsidRPr="0015307D">
              <w:rPr>
                <w:rFonts w:ascii="Calibri" w:eastAsia="Calibri" w:hAnsi="Calibri"/>
                <w:sz w:val="22"/>
                <w:szCs w:val="22"/>
              </w:rPr>
              <w:t>role</w:t>
            </w:r>
            <w:r>
              <w:rPr>
                <w:rFonts w:ascii="Calibri" w:eastAsia="Calibri" w:hAnsi="Calibri"/>
                <w:sz w:val="22"/>
                <w:szCs w:val="22"/>
              </w:rPr>
              <w:t xml:space="preserve"> which are then </w:t>
            </w:r>
            <w:r w:rsidRPr="003E1796">
              <w:rPr>
                <w:rFonts w:ascii="Calibri" w:eastAsia="Calibri" w:hAnsi="Calibri"/>
                <w:sz w:val="22"/>
                <w:szCs w:val="22"/>
                <w:u w:val="single"/>
              </w:rPr>
              <w:t>due 90 days</w:t>
            </w:r>
            <w:r>
              <w:rPr>
                <w:rFonts w:ascii="Calibri" w:eastAsia="Calibri" w:hAnsi="Calibri"/>
                <w:sz w:val="22"/>
                <w:szCs w:val="22"/>
              </w:rPr>
              <w:t xml:space="preserve"> from the transfer date to meet orientation requirements.</w:t>
            </w:r>
          </w:p>
        </w:tc>
      </w:tr>
      <w:tr w:rsidR="003E1796" w14:paraId="5D440C18" w14:textId="77777777" w:rsidTr="00F12059">
        <w:trPr>
          <w:trHeight w:val="3230"/>
        </w:trPr>
        <w:tc>
          <w:tcPr>
            <w:tcW w:w="2880" w:type="dxa"/>
            <w:shd w:val="clear" w:color="auto" w:fill="DAEEF3" w:themeFill="accent5" w:themeFillTint="33"/>
          </w:tcPr>
          <w:p w14:paraId="2C926CFA" w14:textId="04454B17" w:rsidR="003E1796" w:rsidRPr="0015307D" w:rsidRDefault="003E1796" w:rsidP="003E1796">
            <w:pPr>
              <w:rPr>
                <w:rFonts w:ascii="Calibri" w:eastAsia="Calibri" w:hAnsi="Calibri"/>
                <w:b/>
                <w:bCs/>
                <w:sz w:val="22"/>
                <w:szCs w:val="22"/>
                <w:u w:val="single"/>
              </w:rPr>
            </w:pPr>
            <w:r w:rsidRPr="0015307D">
              <w:rPr>
                <w:rFonts w:ascii="Calibri" w:eastAsia="Calibri" w:hAnsi="Calibri"/>
                <w:b/>
                <w:bCs/>
                <w:sz w:val="22"/>
                <w:szCs w:val="22"/>
                <w:u w:val="single"/>
              </w:rPr>
              <w:t>Transfers or Rehires</w:t>
            </w:r>
            <w:r>
              <w:rPr>
                <w:rFonts w:ascii="Calibri" w:eastAsia="Calibri" w:hAnsi="Calibri"/>
                <w:b/>
                <w:bCs/>
                <w:sz w:val="22"/>
                <w:szCs w:val="22"/>
                <w:u w:val="single"/>
              </w:rPr>
              <w:t xml:space="preserve">: </w:t>
            </w:r>
          </w:p>
          <w:p w14:paraId="1F398D17" w14:textId="32D1B0BE" w:rsidR="003E1796" w:rsidRPr="0015307D" w:rsidRDefault="003E1796" w:rsidP="003E1796">
            <w:pPr>
              <w:rPr>
                <w:rFonts w:ascii="Calibri" w:eastAsia="Calibri" w:hAnsi="Calibri"/>
                <w:b/>
                <w:bCs/>
                <w:sz w:val="22"/>
                <w:szCs w:val="22"/>
              </w:rPr>
            </w:pPr>
            <w:r w:rsidRPr="0015307D">
              <w:rPr>
                <w:rFonts w:ascii="Calibri" w:eastAsia="Calibri" w:hAnsi="Calibri"/>
                <w:b/>
                <w:bCs/>
                <w:sz w:val="22"/>
                <w:szCs w:val="22"/>
              </w:rPr>
              <w:t>Do staff need to redo assignments when:</w:t>
            </w:r>
          </w:p>
          <w:p w14:paraId="6B961939" w14:textId="0141B3F1" w:rsidR="003E1796" w:rsidRPr="0015307D" w:rsidRDefault="003E1796" w:rsidP="003E1796">
            <w:pPr>
              <w:pStyle w:val="ListParagraph"/>
              <w:numPr>
                <w:ilvl w:val="0"/>
                <w:numId w:val="4"/>
              </w:numPr>
              <w:rPr>
                <w:rFonts w:ascii="Calibri" w:eastAsia="Calibri" w:hAnsi="Calibri"/>
                <w:b/>
                <w:bCs/>
                <w:sz w:val="22"/>
                <w:szCs w:val="22"/>
              </w:rPr>
            </w:pPr>
            <w:r w:rsidRPr="0015307D">
              <w:rPr>
                <w:rFonts w:ascii="Calibri" w:eastAsia="Calibri" w:hAnsi="Calibri"/>
                <w:b/>
                <w:bCs/>
                <w:sz w:val="22"/>
                <w:szCs w:val="22"/>
              </w:rPr>
              <w:t>A person transfers to another department, and later transfers back to their original department? OR</w:t>
            </w:r>
          </w:p>
          <w:p w14:paraId="49380EA5" w14:textId="75450DE0" w:rsidR="003E1796" w:rsidRPr="0015307D" w:rsidRDefault="003E1796" w:rsidP="003E1796">
            <w:pPr>
              <w:pStyle w:val="ListParagraph"/>
              <w:numPr>
                <w:ilvl w:val="0"/>
                <w:numId w:val="4"/>
              </w:numPr>
              <w:rPr>
                <w:rFonts w:ascii="Calibri" w:eastAsia="Calibri" w:hAnsi="Calibri"/>
                <w:b/>
                <w:bCs/>
                <w:sz w:val="22"/>
                <w:szCs w:val="22"/>
              </w:rPr>
            </w:pPr>
            <w:r w:rsidRPr="0015307D">
              <w:rPr>
                <w:rFonts w:ascii="Calibri" w:eastAsia="Calibri" w:hAnsi="Calibri"/>
                <w:b/>
                <w:bCs/>
                <w:sz w:val="22"/>
                <w:szCs w:val="22"/>
              </w:rPr>
              <w:t>Previously worked at Aspirus and is now rehired?</w:t>
            </w:r>
          </w:p>
        </w:tc>
        <w:tc>
          <w:tcPr>
            <w:tcW w:w="9180" w:type="dxa"/>
            <w:shd w:val="clear" w:color="auto" w:fill="DAEEF3" w:themeFill="accent5" w:themeFillTint="33"/>
          </w:tcPr>
          <w:p w14:paraId="18A090BD" w14:textId="21D89FDE" w:rsidR="003E1796" w:rsidRDefault="003E1796" w:rsidP="003E1796">
            <w:pPr>
              <w:rPr>
                <w:rFonts w:ascii="Calibri" w:eastAsia="Calibri" w:hAnsi="Calibri"/>
                <w:sz w:val="22"/>
                <w:szCs w:val="22"/>
              </w:rPr>
            </w:pPr>
            <w:r>
              <w:rPr>
                <w:rFonts w:ascii="Calibri" w:eastAsia="Calibri" w:hAnsi="Calibri"/>
                <w:sz w:val="22"/>
                <w:szCs w:val="22"/>
              </w:rPr>
              <w:t xml:space="preserve">Assignments are required for a transfer into a “new” transfer position to meet orientation requirements. E.g., moves between business units, departments or job title/role changes. </w:t>
            </w:r>
          </w:p>
          <w:p w14:paraId="53FAF630" w14:textId="77777777" w:rsidR="003E1796" w:rsidRDefault="003E1796" w:rsidP="003E1796">
            <w:pPr>
              <w:rPr>
                <w:rFonts w:ascii="Calibri" w:eastAsia="Calibri" w:hAnsi="Calibri"/>
                <w:sz w:val="22"/>
                <w:szCs w:val="22"/>
              </w:rPr>
            </w:pPr>
          </w:p>
          <w:p w14:paraId="1F2AC000" w14:textId="084D4D71" w:rsidR="003E1796" w:rsidRPr="0015307D" w:rsidRDefault="003E1796" w:rsidP="003E1796">
            <w:pPr>
              <w:rPr>
                <w:rFonts w:ascii="Calibri" w:eastAsia="Calibri" w:hAnsi="Calibri"/>
                <w:sz w:val="22"/>
                <w:szCs w:val="22"/>
              </w:rPr>
            </w:pPr>
            <w:r w:rsidRPr="00C23536">
              <w:rPr>
                <w:rFonts w:ascii="Calibri" w:eastAsia="Calibri" w:hAnsi="Calibri"/>
                <w:i/>
                <w:iCs/>
                <w:sz w:val="22"/>
                <w:szCs w:val="22"/>
              </w:rPr>
              <w:t>There are certain required assignments that launch 7/1 each fiscal year and are due annually for all staff to complete.</w:t>
            </w:r>
            <w:r w:rsidRPr="0015307D">
              <w:rPr>
                <w:rFonts w:ascii="Calibri" w:eastAsia="Calibri" w:hAnsi="Calibri"/>
                <w:sz w:val="22"/>
                <w:szCs w:val="22"/>
              </w:rPr>
              <w:t xml:space="preserve"> These must be completed annually regardless of the length of time between transfer or rehire. </w:t>
            </w:r>
          </w:p>
          <w:p w14:paraId="1D92B379" w14:textId="77777777" w:rsidR="003E1796" w:rsidRPr="0015307D" w:rsidRDefault="003E1796" w:rsidP="003E1796">
            <w:pPr>
              <w:rPr>
                <w:rFonts w:ascii="Calibri" w:eastAsia="Calibri" w:hAnsi="Calibri"/>
                <w:sz w:val="22"/>
                <w:szCs w:val="22"/>
              </w:rPr>
            </w:pPr>
          </w:p>
          <w:p w14:paraId="0696ABA8" w14:textId="6A86804A" w:rsidR="003E1796" w:rsidRPr="0015307D" w:rsidRDefault="003E1796" w:rsidP="003E1796">
            <w:pPr>
              <w:rPr>
                <w:rFonts w:ascii="Calibri" w:eastAsia="Calibri" w:hAnsi="Calibri"/>
                <w:sz w:val="22"/>
                <w:szCs w:val="22"/>
              </w:rPr>
            </w:pPr>
            <w:r>
              <w:rPr>
                <w:rFonts w:ascii="Calibri" w:eastAsia="Calibri" w:hAnsi="Calibri"/>
                <w:sz w:val="22"/>
                <w:szCs w:val="22"/>
              </w:rPr>
              <w:t>For the new role, i</w:t>
            </w:r>
            <w:r w:rsidRPr="0015307D">
              <w:rPr>
                <w:rFonts w:ascii="Calibri" w:eastAsia="Calibri" w:hAnsi="Calibri"/>
                <w:sz w:val="22"/>
                <w:szCs w:val="22"/>
              </w:rPr>
              <w:t xml:space="preserve">f the staff member has completed their </w:t>
            </w:r>
            <w:r>
              <w:rPr>
                <w:rFonts w:ascii="Calibri" w:eastAsia="Calibri" w:hAnsi="Calibri"/>
                <w:sz w:val="22"/>
                <w:szCs w:val="22"/>
              </w:rPr>
              <w:t xml:space="preserve">new </w:t>
            </w:r>
            <w:r w:rsidRPr="0015307D">
              <w:rPr>
                <w:rFonts w:ascii="Calibri" w:eastAsia="Calibri" w:hAnsi="Calibri"/>
                <w:sz w:val="22"/>
                <w:szCs w:val="22"/>
              </w:rPr>
              <w:t>department assignments within the past three years, the</w:t>
            </w:r>
            <w:r>
              <w:rPr>
                <w:rFonts w:ascii="Calibri" w:eastAsia="Calibri" w:hAnsi="Calibri"/>
                <w:sz w:val="22"/>
                <w:szCs w:val="22"/>
              </w:rPr>
              <w:t>se</w:t>
            </w:r>
            <w:r w:rsidRPr="0015307D">
              <w:rPr>
                <w:rFonts w:ascii="Calibri" w:eastAsia="Calibri" w:hAnsi="Calibri"/>
                <w:sz w:val="22"/>
                <w:szCs w:val="22"/>
              </w:rPr>
              <w:t xml:space="preserve"> will not be reassigned. If they have not done the assignments within the past three years, they will be reassigned and need to complete them even if they completed them p</w:t>
            </w:r>
            <w:r w:rsidR="00591F41">
              <w:rPr>
                <w:rFonts w:ascii="Calibri" w:eastAsia="Calibri" w:hAnsi="Calibri"/>
                <w:sz w:val="22"/>
                <w:szCs w:val="22"/>
              </w:rPr>
              <w:t>rior to</w:t>
            </w:r>
            <w:r w:rsidRPr="0015307D">
              <w:rPr>
                <w:rFonts w:ascii="Calibri" w:eastAsia="Calibri" w:hAnsi="Calibri"/>
                <w:sz w:val="22"/>
                <w:szCs w:val="22"/>
              </w:rPr>
              <w:t xml:space="preserve"> the three-year transfer date. Aspirus uses the three-year completion window, which aligns with how far back regulatory bodies typically request training records. </w:t>
            </w:r>
          </w:p>
        </w:tc>
      </w:tr>
      <w:tr w:rsidR="003E1796" w14:paraId="61A3CF88" w14:textId="77777777" w:rsidTr="00C2674B">
        <w:tc>
          <w:tcPr>
            <w:tcW w:w="2880" w:type="dxa"/>
            <w:shd w:val="clear" w:color="auto" w:fill="95B3D7" w:themeFill="accent1" w:themeFillTint="99"/>
          </w:tcPr>
          <w:p w14:paraId="1E3164A8" w14:textId="08236449" w:rsidR="003E1796" w:rsidRPr="0015307D" w:rsidRDefault="00C23536" w:rsidP="003E1796">
            <w:pPr>
              <w:rPr>
                <w:rFonts w:ascii="Calibri" w:eastAsia="Calibri" w:hAnsi="Calibri"/>
                <w:b/>
                <w:bCs/>
                <w:sz w:val="22"/>
                <w:szCs w:val="22"/>
              </w:rPr>
            </w:pPr>
            <w:r>
              <w:rPr>
                <w:rFonts w:ascii="Calibri" w:eastAsia="Calibri" w:hAnsi="Calibri"/>
                <w:b/>
                <w:bCs/>
                <w:sz w:val="22"/>
                <w:szCs w:val="22"/>
              </w:rPr>
              <w:t>As a staff person, who do I contact with questions?</w:t>
            </w:r>
          </w:p>
        </w:tc>
        <w:tc>
          <w:tcPr>
            <w:tcW w:w="9180" w:type="dxa"/>
            <w:shd w:val="clear" w:color="auto" w:fill="95B3D7" w:themeFill="accent1" w:themeFillTint="99"/>
          </w:tcPr>
          <w:p w14:paraId="67EF47D6" w14:textId="33A41549" w:rsidR="003E1796" w:rsidRPr="0015307D" w:rsidRDefault="00C23536" w:rsidP="003E1796">
            <w:pPr>
              <w:rPr>
                <w:rFonts w:ascii="Calibri" w:eastAsia="Calibri" w:hAnsi="Calibri"/>
                <w:sz w:val="22"/>
                <w:szCs w:val="22"/>
              </w:rPr>
            </w:pPr>
            <w:r>
              <w:rPr>
                <w:rFonts w:ascii="Calibri" w:eastAsia="Calibri" w:hAnsi="Calibri"/>
                <w:sz w:val="22"/>
                <w:szCs w:val="22"/>
              </w:rPr>
              <w:t>Your manager.</w:t>
            </w:r>
            <w:r w:rsidR="003E1796">
              <w:rPr>
                <w:rFonts w:ascii="Calibri" w:eastAsia="Calibri" w:hAnsi="Calibri"/>
                <w:sz w:val="22"/>
                <w:szCs w:val="22"/>
              </w:rPr>
              <w:t xml:space="preserve"> </w:t>
            </w:r>
          </w:p>
        </w:tc>
      </w:tr>
    </w:tbl>
    <w:p w14:paraId="75EE1EAF" w14:textId="3874A7F6" w:rsidR="0027394D" w:rsidRPr="00CF104A" w:rsidRDefault="0015307D" w:rsidP="00CF104A">
      <w:pPr>
        <w:jc w:val="both"/>
        <w:rPr>
          <w:rFonts w:asciiTheme="minorHAnsi" w:eastAsia="Calibri" w:hAnsiTheme="minorHAnsi" w:cstheme="minorHAnsi"/>
        </w:rPr>
      </w:pPr>
      <w:r w:rsidRPr="00CF104A">
        <w:rPr>
          <w:rFonts w:asciiTheme="minorHAnsi" w:eastAsia="Calibri" w:hAnsiTheme="minorHAnsi" w:cstheme="minorHAnsi"/>
          <w:noProof/>
        </w:rPr>
        <mc:AlternateContent>
          <mc:Choice Requires="wps">
            <w:drawing>
              <wp:anchor distT="45720" distB="45720" distL="114300" distR="114300" simplePos="0" relativeHeight="251661312" behindDoc="0" locked="0" layoutInCell="1" allowOverlap="1" wp14:anchorId="65E9B8C8" wp14:editId="6855B7CD">
                <wp:simplePos x="0" y="0"/>
                <wp:positionH relativeFrom="margin">
                  <wp:posOffset>-857250</wp:posOffset>
                </wp:positionH>
                <wp:positionV relativeFrom="paragraph">
                  <wp:posOffset>840105</wp:posOffset>
                </wp:positionV>
                <wp:extent cx="7610475" cy="257175"/>
                <wp:effectExtent l="0" t="0" r="9525" b="9525"/>
                <wp:wrapSquare wrapText="bothSides"/>
                <wp:docPr id="180474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257175"/>
                        </a:xfrm>
                        <a:prstGeom prst="rect">
                          <a:avLst/>
                        </a:prstGeom>
                        <a:solidFill>
                          <a:srgbClr val="FFFFFF"/>
                        </a:solidFill>
                        <a:ln w="9525">
                          <a:noFill/>
                          <a:miter lim="800000"/>
                          <a:headEnd/>
                          <a:tailEnd/>
                        </a:ln>
                      </wps:spPr>
                      <wps:txbx>
                        <w:txbxContent>
                          <w:p w14:paraId="74896535" w14:textId="111E4696" w:rsidR="00CF104A" w:rsidRPr="0015307D" w:rsidRDefault="00CF104A" w:rsidP="001B5B37">
                            <w:pPr>
                              <w:jc w:val="center"/>
                              <w:rPr>
                                <w:sz w:val="20"/>
                                <w:szCs w:val="20"/>
                              </w:rPr>
                            </w:pPr>
                            <w:r w:rsidRPr="0015307D">
                              <w:rPr>
                                <w:rFonts w:asciiTheme="minorHAnsi" w:eastAsia="Calibri" w:hAnsiTheme="minorHAnsi" w:cstheme="minorHAnsi"/>
                                <w:sz w:val="20"/>
                                <w:szCs w:val="20"/>
                              </w:rPr>
                              <w:t xml:space="preserve">If you have questions about this process or would like more information, please contact </w:t>
                            </w:r>
                            <w:hyperlink r:id="rId7" w:history="1">
                              <w:r w:rsidRPr="0015307D">
                                <w:rPr>
                                  <w:rStyle w:val="Hyperlink"/>
                                  <w:rFonts w:asciiTheme="minorHAnsi" w:eastAsia="Calibri" w:hAnsiTheme="minorHAnsi" w:cstheme="minorHAnsi"/>
                                  <w:sz w:val="20"/>
                                  <w:szCs w:val="20"/>
                                </w:rPr>
                                <w:t>healthstreamorglrndev-aspirusinc@aspirus.org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9B8C8" id="_x0000_t202" coordsize="21600,21600" o:spt="202" path="m,l,21600r21600,l21600,xe">
                <v:stroke joinstyle="miter"/>
                <v:path gradientshapeok="t" o:connecttype="rect"/>
              </v:shapetype>
              <v:shape id="Text Box 2" o:spid="_x0000_s1026" type="#_x0000_t202" style="position:absolute;left:0;text-align:left;margin-left:-67.5pt;margin-top:66.15pt;width:599.25pt;height:2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A1DAIAAPYDAAAOAAAAZHJzL2Uyb0RvYy54bWysU9tu2zAMfR+wfxD0vtgOkqY14hRdugwD&#10;ugvQ7QMUWY6FyaJGKbG7rx8lu2m2vQ3Tg0CK1BF5eLS+HTrDTgq9BlvxYpZzpqyEWttDxb993b25&#10;5s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" stroked="f">
                <v:textbox>
                  <w:txbxContent>
                    <w:p w14:paraId="74896535" w14:textId="111E4696" w:rsidR="00CF104A" w:rsidRPr="0015307D" w:rsidRDefault="00CF104A" w:rsidP="001B5B37">
                      <w:pPr>
                        <w:jc w:val="center"/>
                        <w:rPr>
                          <w:sz w:val="20"/>
                          <w:szCs w:val="20"/>
                        </w:rPr>
                      </w:pPr>
                      <w:r w:rsidRPr="0015307D">
                        <w:rPr>
                          <w:rFonts w:asciiTheme="minorHAnsi" w:eastAsia="Calibri" w:hAnsiTheme="minorHAnsi" w:cstheme="minorHAnsi"/>
                          <w:sz w:val="20"/>
                          <w:szCs w:val="20"/>
                        </w:rPr>
                        <w:t xml:space="preserve">If you have questions about this process or would like more information, please contact </w:t>
                      </w:r>
                      <w:hyperlink r:id="rId8" w:history="1">
                        <w:r w:rsidRPr="0015307D">
                          <w:rPr>
                            <w:rStyle w:val="Hyperlink"/>
                            <w:rFonts w:asciiTheme="minorHAnsi" w:eastAsia="Calibri" w:hAnsiTheme="minorHAnsi" w:cstheme="minorHAnsi"/>
                            <w:sz w:val="20"/>
                            <w:szCs w:val="20"/>
                          </w:rPr>
                          <w:t>healthstreamorglrndev-aspirusinc@aspirus.org</w:t>
                        </w:r>
                      </w:hyperlink>
                    </w:p>
                  </w:txbxContent>
                </v:textbox>
                <w10:wrap type="square" anchorx="margin"/>
              </v:shape>
            </w:pict>
          </mc:Fallback>
        </mc:AlternateContent>
      </w:r>
    </w:p>
    <w:sectPr w:rsidR="0027394D" w:rsidRPr="00CF104A" w:rsidSect="0015307D">
      <w:headerReference w:type="default" r:id="rId9"/>
      <w:footerReference w:type="default" r:id="rId10"/>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BE24" w14:textId="77777777" w:rsidR="00164601" w:rsidRDefault="00164601" w:rsidP="00354987">
      <w:r>
        <w:separator/>
      </w:r>
    </w:p>
  </w:endnote>
  <w:endnote w:type="continuationSeparator" w:id="0">
    <w:p w14:paraId="11F6A151" w14:textId="77777777" w:rsidR="00164601" w:rsidRDefault="00164601" w:rsidP="0035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69687"/>
      <w:docPartObj>
        <w:docPartGallery w:val="Page Numbers (Bottom of Page)"/>
        <w:docPartUnique/>
      </w:docPartObj>
    </w:sdtPr>
    <w:sdtEndPr/>
    <w:sdtContent>
      <w:sdt>
        <w:sdtPr>
          <w:id w:val="1728636285"/>
          <w:docPartObj>
            <w:docPartGallery w:val="Page Numbers (Top of Page)"/>
            <w:docPartUnique/>
          </w:docPartObj>
        </w:sdtPr>
        <w:sdtEndPr/>
        <w:sdtContent>
          <w:p w14:paraId="3E77C3B7" w14:textId="304C3B36" w:rsidR="005176FD" w:rsidRDefault="006D2D4A">
            <w:pPr>
              <w:pStyle w:val="Footer"/>
            </w:pPr>
            <w:r w:rsidRPr="006D2D4A">
              <w:rPr>
                <w:rFonts w:asciiTheme="minorHAnsi" w:hAnsiTheme="minorHAnsi" w:cstheme="minorHAnsi"/>
              </w:rPr>
              <w:t xml:space="preserve">Reviewed </w:t>
            </w:r>
            <w:r w:rsidR="00DD591D">
              <w:rPr>
                <w:rFonts w:asciiTheme="minorHAnsi" w:hAnsiTheme="minorHAnsi" w:cstheme="minorHAnsi"/>
                <w:b/>
                <w:bCs/>
              </w:rPr>
              <w:t>9</w:t>
            </w:r>
            <w:r w:rsidR="007C2848">
              <w:rPr>
                <w:rFonts w:asciiTheme="minorHAnsi" w:hAnsiTheme="minorHAnsi" w:cstheme="minorHAnsi"/>
                <w:b/>
                <w:bCs/>
              </w:rPr>
              <w:t>.</w:t>
            </w:r>
            <w:r w:rsidR="00DD591D">
              <w:rPr>
                <w:rFonts w:asciiTheme="minorHAnsi" w:hAnsiTheme="minorHAnsi" w:cstheme="minorHAnsi"/>
                <w:b/>
                <w:bCs/>
              </w:rPr>
              <w:t>3</w:t>
            </w:r>
            <w:r w:rsidRPr="006D2D4A">
              <w:rPr>
                <w:rFonts w:asciiTheme="minorHAnsi" w:hAnsiTheme="minorHAnsi" w:cstheme="minorHAnsi"/>
                <w:b/>
                <w:bCs/>
              </w:rPr>
              <w:t>.</w:t>
            </w:r>
            <w:r w:rsidR="0027394D">
              <w:rPr>
                <w:rFonts w:asciiTheme="minorHAnsi" w:hAnsiTheme="minorHAnsi" w:cstheme="minorHAnsi"/>
                <w:b/>
                <w:bCs/>
              </w:rPr>
              <w:t>202</w:t>
            </w:r>
            <w:r w:rsidR="00DD591D">
              <w:rPr>
                <w:rFonts w:asciiTheme="minorHAnsi" w:hAnsiTheme="minorHAnsi" w:cstheme="minorHAnsi"/>
                <w:b/>
                <w:bCs/>
              </w:rPr>
              <w:t>4</w:t>
            </w:r>
            <w:r w:rsidRPr="005176F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5176FD" w:rsidRPr="005176FD">
              <w:rPr>
                <w:rFonts w:asciiTheme="minorHAnsi" w:hAnsiTheme="minorHAnsi" w:cstheme="minorHAnsi"/>
              </w:rPr>
              <w:t xml:space="preserve">Page </w:t>
            </w:r>
            <w:r w:rsidR="005176FD" w:rsidRPr="005176FD">
              <w:rPr>
                <w:rFonts w:asciiTheme="minorHAnsi" w:hAnsiTheme="minorHAnsi" w:cstheme="minorHAnsi"/>
                <w:b/>
                <w:bCs/>
              </w:rPr>
              <w:fldChar w:fldCharType="begin"/>
            </w:r>
            <w:r w:rsidR="005176FD" w:rsidRPr="005176FD">
              <w:rPr>
                <w:rFonts w:asciiTheme="minorHAnsi" w:hAnsiTheme="minorHAnsi" w:cstheme="minorHAnsi"/>
                <w:b/>
                <w:bCs/>
              </w:rPr>
              <w:instrText xml:space="preserve"> PAGE </w:instrText>
            </w:r>
            <w:r w:rsidR="005176FD" w:rsidRPr="005176FD">
              <w:rPr>
                <w:rFonts w:asciiTheme="minorHAnsi" w:hAnsiTheme="minorHAnsi" w:cstheme="minorHAnsi"/>
                <w:b/>
                <w:bCs/>
              </w:rPr>
              <w:fldChar w:fldCharType="separate"/>
            </w:r>
            <w:r w:rsidR="005176FD" w:rsidRPr="005176FD">
              <w:rPr>
                <w:rFonts w:asciiTheme="minorHAnsi" w:hAnsiTheme="minorHAnsi" w:cstheme="minorHAnsi"/>
                <w:b/>
                <w:bCs/>
                <w:noProof/>
              </w:rPr>
              <w:t>2</w:t>
            </w:r>
            <w:r w:rsidR="005176FD" w:rsidRPr="005176FD">
              <w:rPr>
                <w:rFonts w:asciiTheme="minorHAnsi" w:hAnsiTheme="minorHAnsi" w:cstheme="minorHAnsi"/>
                <w:b/>
                <w:bCs/>
              </w:rPr>
              <w:fldChar w:fldCharType="end"/>
            </w:r>
            <w:r w:rsidR="005176FD" w:rsidRPr="005176FD">
              <w:rPr>
                <w:rFonts w:asciiTheme="minorHAnsi" w:hAnsiTheme="minorHAnsi" w:cstheme="minorHAnsi"/>
              </w:rPr>
              <w:t xml:space="preserve"> of </w:t>
            </w:r>
            <w:r w:rsidR="005176FD" w:rsidRPr="005176FD">
              <w:rPr>
                <w:rFonts w:asciiTheme="minorHAnsi" w:hAnsiTheme="minorHAnsi" w:cstheme="minorHAnsi"/>
                <w:b/>
                <w:bCs/>
              </w:rPr>
              <w:fldChar w:fldCharType="begin"/>
            </w:r>
            <w:r w:rsidR="005176FD" w:rsidRPr="005176FD">
              <w:rPr>
                <w:rFonts w:asciiTheme="minorHAnsi" w:hAnsiTheme="minorHAnsi" w:cstheme="minorHAnsi"/>
                <w:b/>
                <w:bCs/>
              </w:rPr>
              <w:instrText xml:space="preserve"> NUMPAGES  </w:instrText>
            </w:r>
            <w:r w:rsidR="005176FD" w:rsidRPr="005176FD">
              <w:rPr>
                <w:rFonts w:asciiTheme="minorHAnsi" w:hAnsiTheme="minorHAnsi" w:cstheme="minorHAnsi"/>
                <w:b/>
                <w:bCs/>
              </w:rPr>
              <w:fldChar w:fldCharType="separate"/>
            </w:r>
            <w:r w:rsidR="005176FD" w:rsidRPr="005176FD">
              <w:rPr>
                <w:rFonts w:asciiTheme="minorHAnsi" w:hAnsiTheme="minorHAnsi" w:cstheme="minorHAnsi"/>
                <w:b/>
                <w:bCs/>
                <w:noProof/>
              </w:rPr>
              <w:t>2</w:t>
            </w:r>
            <w:r w:rsidR="005176FD" w:rsidRPr="005176FD">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52780" w14:textId="77777777" w:rsidR="00164601" w:rsidRDefault="00164601" w:rsidP="00354987">
      <w:r>
        <w:separator/>
      </w:r>
    </w:p>
  </w:footnote>
  <w:footnote w:type="continuationSeparator" w:id="0">
    <w:p w14:paraId="7D0387A2" w14:textId="77777777" w:rsidR="00164601" w:rsidRDefault="00164601" w:rsidP="0035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8BF4" w14:textId="64F640F8" w:rsidR="00354987" w:rsidRDefault="0015307D">
    <w:pPr>
      <w:pStyle w:val="Header"/>
    </w:pPr>
    <w:r>
      <w:rPr>
        <w:noProof/>
      </w:rPr>
      <w:drawing>
        <wp:anchor distT="0" distB="0" distL="114300" distR="114300" simplePos="0" relativeHeight="251656703" behindDoc="0" locked="0" layoutInCell="1" allowOverlap="1" wp14:anchorId="50F7D172" wp14:editId="61AB8523">
          <wp:simplePos x="0" y="0"/>
          <wp:positionH relativeFrom="page">
            <wp:align>right</wp:align>
          </wp:positionH>
          <wp:positionV relativeFrom="paragraph">
            <wp:posOffset>-455295</wp:posOffset>
          </wp:positionV>
          <wp:extent cx="7768590" cy="1263015"/>
          <wp:effectExtent l="0" t="0" r="3810" b="0"/>
          <wp:wrapSquare wrapText="bothSides"/>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590" cy="1263015"/>
                  </a:xfrm>
                  <a:prstGeom prst="rect">
                    <a:avLst/>
                  </a:prstGeom>
                </pic:spPr>
              </pic:pic>
            </a:graphicData>
          </a:graphic>
          <wp14:sizeRelH relativeFrom="page">
            <wp14:pctWidth>0</wp14:pctWidth>
          </wp14:sizeRelH>
          <wp14:sizeRelV relativeFrom="page">
            <wp14:pctHeight>0</wp14:pctHeight>
          </wp14:sizeRelV>
        </wp:anchor>
      </w:drawing>
    </w:r>
    <w:r w:rsidR="00B40D26">
      <w:rPr>
        <w:noProof/>
      </w:rPr>
      <mc:AlternateContent>
        <mc:Choice Requires="wps">
          <w:drawing>
            <wp:anchor distT="0" distB="0" distL="114300" distR="114300" simplePos="0" relativeHeight="251659264" behindDoc="0" locked="0" layoutInCell="1" allowOverlap="1" wp14:anchorId="0A668E19" wp14:editId="0DEF4F29">
              <wp:simplePos x="0" y="0"/>
              <wp:positionH relativeFrom="column">
                <wp:posOffset>1447800</wp:posOffset>
              </wp:positionH>
              <wp:positionV relativeFrom="paragraph">
                <wp:posOffset>-323850</wp:posOffset>
              </wp:positionV>
              <wp:extent cx="5324475" cy="981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24475" cy="981075"/>
                      </a:xfrm>
                      <a:prstGeom prst="rect">
                        <a:avLst/>
                      </a:prstGeom>
                      <a:noFill/>
                      <a:ln w="6350">
                        <a:noFill/>
                      </a:ln>
                    </wps:spPr>
                    <wps:txbx>
                      <w:txbxContent>
                        <w:p w14:paraId="31F76191" w14:textId="6B27F78D" w:rsidR="00236879" w:rsidRDefault="003F0847" w:rsidP="00B40D26">
                          <w:pP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 xml:space="preserve">HealthStream Assignment </w:t>
                          </w:r>
                          <w:r w:rsidR="00236879">
                            <w:rPr>
                              <w:rFonts w:asciiTheme="minorHAnsi" w:hAnsiTheme="minorHAnsi" w:cstheme="minorHAnsi"/>
                              <w:color w:val="FFFFFF" w:themeColor="background1"/>
                              <w:sz w:val="60"/>
                              <w:szCs w:val="60"/>
                            </w:rPr>
                            <w:t xml:space="preserve"> </w:t>
                          </w:r>
                        </w:p>
                        <w:p w14:paraId="3F727B3D" w14:textId="45680318" w:rsidR="00B40D26" w:rsidRDefault="003F0847" w:rsidP="00B40D26">
                          <w:pP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Frequently Asked Questions</w:t>
                          </w:r>
                        </w:p>
                        <w:p w14:paraId="718CF325" w14:textId="53BC25A5" w:rsidR="000405EF" w:rsidRPr="006D2D4A" w:rsidRDefault="000405EF" w:rsidP="00B40D26">
                          <w:pPr>
                            <w:rPr>
                              <w:rFonts w:asciiTheme="minorHAnsi" w:hAnsiTheme="minorHAnsi" w:cstheme="minorHAnsi"/>
                              <w:color w:val="FFFFFF" w:themeColor="background1"/>
                              <w:sz w:val="60"/>
                              <w:szCs w:val="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68E19" id="_x0000_t202" coordsize="21600,21600" o:spt="202" path="m,l,21600r21600,l21600,xe">
              <v:stroke joinstyle="miter"/>
              <v:path gradientshapeok="t" o:connecttype="rect"/>
            </v:shapetype>
            <v:shape id="Text Box 3" o:spid="_x0000_s1027" type="#_x0000_t202" style="position:absolute;margin-left:114pt;margin-top:-25.5pt;width:419.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m8GAIAAC4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" filled="f" stroked="f" strokeweight=".5pt">
              <v:textbox>
                <w:txbxContent>
                  <w:p w14:paraId="31F76191" w14:textId="6B27F78D" w:rsidR="00236879" w:rsidRDefault="003F0847" w:rsidP="00B40D26">
                    <w:pP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 xml:space="preserve">HealthStream Assignment </w:t>
                    </w:r>
                    <w:r w:rsidR="00236879">
                      <w:rPr>
                        <w:rFonts w:asciiTheme="minorHAnsi" w:hAnsiTheme="minorHAnsi" w:cstheme="minorHAnsi"/>
                        <w:color w:val="FFFFFF" w:themeColor="background1"/>
                        <w:sz w:val="60"/>
                        <w:szCs w:val="60"/>
                      </w:rPr>
                      <w:t xml:space="preserve"> </w:t>
                    </w:r>
                  </w:p>
                  <w:p w14:paraId="3F727B3D" w14:textId="45680318" w:rsidR="00B40D26" w:rsidRDefault="003F0847" w:rsidP="00B40D26">
                    <w:pPr>
                      <w:rPr>
                        <w:rFonts w:asciiTheme="minorHAnsi" w:hAnsiTheme="minorHAnsi" w:cstheme="minorHAnsi"/>
                        <w:color w:val="FFFFFF" w:themeColor="background1"/>
                        <w:sz w:val="60"/>
                        <w:szCs w:val="60"/>
                      </w:rPr>
                    </w:pPr>
                    <w:r>
                      <w:rPr>
                        <w:rFonts w:asciiTheme="minorHAnsi" w:hAnsiTheme="minorHAnsi" w:cstheme="minorHAnsi"/>
                        <w:color w:val="FFFFFF" w:themeColor="background1"/>
                        <w:sz w:val="60"/>
                        <w:szCs w:val="60"/>
                      </w:rPr>
                      <w:t>Frequently Asked Questions</w:t>
                    </w:r>
                  </w:p>
                  <w:p w14:paraId="718CF325" w14:textId="53BC25A5" w:rsidR="000405EF" w:rsidRPr="006D2D4A" w:rsidRDefault="000405EF" w:rsidP="00B40D26">
                    <w:pPr>
                      <w:rPr>
                        <w:rFonts w:asciiTheme="minorHAnsi" w:hAnsiTheme="minorHAnsi" w:cstheme="minorHAnsi"/>
                        <w:color w:val="FFFFFF" w:themeColor="background1"/>
                        <w:sz w:val="60"/>
                        <w:szCs w:val="6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E1CA7"/>
    <w:multiLevelType w:val="hybridMultilevel"/>
    <w:tmpl w:val="CBDE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F0789"/>
    <w:multiLevelType w:val="hybridMultilevel"/>
    <w:tmpl w:val="ACC45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C0DA8"/>
    <w:multiLevelType w:val="hybridMultilevel"/>
    <w:tmpl w:val="FE1E7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D0D2E"/>
    <w:multiLevelType w:val="hybridMultilevel"/>
    <w:tmpl w:val="58E6C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830663">
    <w:abstractNumId w:val="0"/>
  </w:num>
  <w:num w:numId="2" w16cid:durableId="1301155408">
    <w:abstractNumId w:val="1"/>
  </w:num>
  <w:num w:numId="3" w16cid:durableId="1449088358">
    <w:abstractNumId w:val="2"/>
  </w:num>
  <w:num w:numId="4" w16cid:durableId="164628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87"/>
    <w:rsid w:val="00004715"/>
    <w:rsid w:val="00014637"/>
    <w:rsid w:val="00022C1D"/>
    <w:rsid w:val="000326DE"/>
    <w:rsid w:val="00036E52"/>
    <w:rsid w:val="000405EF"/>
    <w:rsid w:val="00043AB6"/>
    <w:rsid w:val="00061F1A"/>
    <w:rsid w:val="00063FCE"/>
    <w:rsid w:val="000668C9"/>
    <w:rsid w:val="000669C2"/>
    <w:rsid w:val="000716D3"/>
    <w:rsid w:val="000A69D3"/>
    <w:rsid w:val="000B2897"/>
    <w:rsid w:val="000B43AB"/>
    <w:rsid w:val="000E458B"/>
    <w:rsid w:val="000F51B5"/>
    <w:rsid w:val="0012163A"/>
    <w:rsid w:val="001251E6"/>
    <w:rsid w:val="00131CBC"/>
    <w:rsid w:val="00141DFF"/>
    <w:rsid w:val="0015307D"/>
    <w:rsid w:val="00154138"/>
    <w:rsid w:val="00164601"/>
    <w:rsid w:val="001810F8"/>
    <w:rsid w:val="001B5B37"/>
    <w:rsid w:val="00222001"/>
    <w:rsid w:val="00232B27"/>
    <w:rsid w:val="00236879"/>
    <w:rsid w:val="0027192D"/>
    <w:rsid w:val="0027394D"/>
    <w:rsid w:val="002B64B9"/>
    <w:rsid w:val="002E0EEF"/>
    <w:rsid w:val="002F4611"/>
    <w:rsid w:val="00327D0A"/>
    <w:rsid w:val="00354987"/>
    <w:rsid w:val="00360438"/>
    <w:rsid w:val="00380DF3"/>
    <w:rsid w:val="003811E0"/>
    <w:rsid w:val="00387601"/>
    <w:rsid w:val="003B0654"/>
    <w:rsid w:val="003C3D4B"/>
    <w:rsid w:val="003E1796"/>
    <w:rsid w:val="003F0847"/>
    <w:rsid w:val="0041026E"/>
    <w:rsid w:val="00411A9F"/>
    <w:rsid w:val="00450D26"/>
    <w:rsid w:val="0047155C"/>
    <w:rsid w:val="0047226B"/>
    <w:rsid w:val="004B2DFC"/>
    <w:rsid w:val="004D14A7"/>
    <w:rsid w:val="004E5B0C"/>
    <w:rsid w:val="004F33AE"/>
    <w:rsid w:val="005176FD"/>
    <w:rsid w:val="00523F8F"/>
    <w:rsid w:val="005717F0"/>
    <w:rsid w:val="005737E8"/>
    <w:rsid w:val="00577E50"/>
    <w:rsid w:val="00591F41"/>
    <w:rsid w:val="0059206A"/>
    <w:rsid w:val="00593152"/>
    <w:rsid w:val="005A1D2F"/>
    <w:rsid w:val="005A4606"/>
    <w:rsid w:val="005B0B87"/>
    <w:rsid w:val="005B405C"/>
    <w:rsid w:val="005D3304"/>
    <w:rsid w:val="00603CAA"/>
    <w:rsid w:val="00616594"/>
    <w:rsid w:val="00633A92"/>
    <w:rsid w:val="00647B9F"/>
    <w:rsid w:val="00652CDB"/>
    <w:rsid w:val="00671469"/>
    <w:rsid w:val="00671A79"/>
    <w:rsid w:val="00696E4D"/>
    <w:rsid w:val="006A156D"/>
    <w:rsid w:val="006A736C"/>
    <w:rsid w:val="006B1FE4"/>
    <w:rsid w:val="006B4399"/>
    <w:rsid w:val="006D0F57"/>
    <w:rsid w:val="006D2D4A"/>
    <w:rsid w:val="006D65A8"/>
    <w:rsid w:val="006E7CB6"/>
    <w:rsid w:val="006F27C3"/>
    <w:rsid w:val="00702FD4"/>
    <w:rsid w:val="00727A34"/>
    <w:rsid w:val="00740EDD"/>
    <w:rsid w:val="00747A66"/>
    <w:rsid w:val="007859E4"/>
    <w:rsid w:val="007A3372"/>
    <w:rsid w:val="007A4C9C"/>
    <w:rsid w:val="007A7DDD"/>
    <w:rsid w:val="007C2848"/>
    <w:rsid w:val="007C2B3E"/>
    <w:rsid w:val="007C6120"/>
    <w:rsid w:val="007E2476"/>
    <w:rsid w:val="007E299C"/>
    <w:rsid w:val="007E35CE"/>
    <w:rsid w:val="007F3F4C"/>
    <w:rsid w:val="00803658"/>
    <w:rsid w:val="00816A8F"/>
    <w:rsid w:val="008265A0"/>
    <w:rsid w:val="00830F8B"/>
    <w:rsid w:val="00844308"/>
    <w:rsid w:val="00852CA2"/>
    <w:rsid w:val="00875866"/>
    <w:rsid w:val="00894EDA"/>
    <w:rsid w:val="008D012D"/>
    <w:rsid w:val="008F4C7B"/>
    <w:rsid w:val="008F4D8F"/>
    <w:rsid w:val="00902BE0"/>
    <w:rsid w:val="00910315"/>
    <w:rsid w:val="00910B90"/>
    <w:rsid w:val="00914080"/>
    <w:rsid w:val="00926075"/>
    <w:rsid w:val="00955C34"/>
    <w:rsid w:val="00963D5B"/>
    <w:rsid w:val="00965768"/>
    <w:rsid w:val="009708E3"/>
    <w:rsid w:val="00994F00"/>
    <w:rsid w:val="00996CA1"/>
    <w:rsid w:val="009B02EC"/>
    <w:rsid w:val="009B405F"/>
    <w:rsid w:val="009B5CDF"/>
    <w:rsid w:val="009D3F92"/>
    <w:rsid w:val="009E58B4"/>
    <w:rsid w:val="009F1D5C"/>
    <w:rsid w:val="009F22D9"/>
    <w:rsid w:val="00A53650"/>
    <w:rsid w:val="00A54007"/>
    <w:rsid w:val="00A55990"/>
    <w:rsid w:val="00A751C4"/>
    <w:rsid w:val="00A81BB7"/>
    <w:rsid w:val="00A94F89"/>
    <w:rsid w:val="00A96420"/>
    <w:rsid w:val="00AB2A75"/>
    <w:rsid w:val="00AB7A3A"/>
    <w:rsid w:val="00B01B43"/>
    <w:rsid w:val="00B40D26"/>
    <w:rsid w:val="00B72F73"/>
    <w:rsid w:val="00BB4CFA"/>
    <w:rsid w:val="00BB6357"/>
    <w:rsid w:val="00BD74A0"/>
    <w:rsid w:val="00C06C07"/>
    <w:rsid w:val="00C23536"/>
    <w:rsid w:val="00C2674B"/>
    <w:rsid w:val="00C36958"/>
    <w:rsid w:val="00C54F18"/>
    <w:rsid w:val="00C71E4B"/>
    <w:rsid w:val="00C847C2"/>
    <w:rsid w:val="00C95FBC"/>
    <w:rsid w:val="00CA00BB"/>
    <w:rsid w:val="00CA33DE"/>
    <w:rsid w:val="00CD0615"/>
    <w:rsid w:val="00CD54AE"/>
    <w:rsid w:val="00CE3C3B"/>
    <w:rsid w:val="00CF104A"/>
    <w:rsid w:val="00CF6116"/>
    <w:rsid w:val="00D317A8"/>
    <w:rsid w:val="00D47962"/>
    <w:rsid w:val="00D50836"/>
    <w:rsid w:val="00DA5FD2"/>
    <w:rsid w:val="00DD591D"/>
    <w:rsid w:val="00DE69B8"/>
    <w:rsid w:val="00E1618A"/>
    <w:rsid w:val="00E43434"/>
    <w:rsid w:val="00EC70A3"/>
    <w:rsid w:val="00ED260F"/>
    <w:rsid w:val="00F03C8F"/>
    <w:rsid w:val="00F12059"/>
    <w:rsid w:val="00F14F4C"/>
    <w:rsid w:val="00F41302"/>
    <w:rsid w:val="00F41F3C"/>
    <w:rsid w:val="00F54B7E"/>
    <w:rsid w:val="00F56DF4"/>
    <w:rsid w:val="00F66F8E"/>
    <w:rsid w:val="00F70D61"/>
    <w:rsid w:val="00F71DE4"/>
    <w:rsid w:val="00F86F3D"/>
    <w:rsid w:val="00F97F95"/>
    <w:rsid w:val="00FD1E09"/>
    <w:rsid w:val="00FE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BC992"/>
  <w14:defaultImageDpi w14:val="300"/>
  <w15:docId w15:val="{7A8127B5-379E-468E-9D13-9E114401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987"/>
    <w:pPr>
      <w:tabs>
        <w:tab w:val="center" w:pos="4320"/>
        <w:tab w:val="right" w:pos="8640"/>
      </w:tabs>
    </w:pPr>
  </w:style>
  <w:style w:type="character" w:customStyle="1" w:styleId="HeaderChar">
    <w:name w:val="Header Char"/>
    <w:basedOn w:val="DefaultParagraphFont"/>
    <w:link w:val="Header"/>
    <w:uiPriority w:val="99"/>
    <w:rsid w:val="00354987"/>
  </w:style>
  <w:style w:type="paragraph" w:styleId="Footer">
    <w:name w:val="footer"/>
    <w:basedOn w:val="Normal"/>
    <w:link w:val="FooterChar"/>
    <w:uiPriority w:val="99"/>
    <w:unhideWhenUsed/>
    <w:rsid w:val="00354987"/>
    <w:pPr>
      <w:tabs>
        <w:tab w:val="center" w:pos="4320"/>
        <w:tab w:val="right" w:pos="8640"/>
      </w:tabs>
    </w:pPr>
  </w:style>
  <w:style w:type="character" w:customStyle="1" w:styleId="FooterChar">
    <w:name w:val="Footer Char"/>
    <w:basedOn w:val="DefaultParagraphFont"/>
    <w:link w:val="Footer"/>
    <w:uiPriority w:val="99"/>
    <w:rsid w:val="00354987"/>
  </w:style>
  <w:style w:type="paragraph" w:styleId="BalloonText">
    <w:name w:val="Balloon Text"/>
    <w:basedOn w:val="Normal"/>
    <w:link w:val="BalloonTextChar"/>
    <w:uiPriority w:val="99"/>
    <w:semiHidden/>
    <w:unhideWhenUsed/>
    <w:rsid w:val="00354987"/>
    <w:rPr>
      <w:rFonts w:ascii="Lucida Grande" w:hAnsi="Lucida Grande" w:cs="Lucida Grande"/>
      <w:sz w:val="18"/>
      <w:szCs w:val="18"/>
    </w:rPr>
  </w:style>
  <w:style w:type="character" w:customStyle="1" w:styleId="BalloonTextChar">
    <w:name w:val="Balloon Text Char"/>
    <w:link w:val="BalloonText"/>
    <w:uiPriority w:val="99"/>
    <w:semiHidden/>
    <w:rsid w:val="00354987"/>
    <w:rPr>
      <w:rFonts w:ascii="Lucida Grande" w:hAnsi="Lucida Grande" w:cs="Lucida Grande"/>
      <w:sz w:val="18"/>
      <w:szCs w:val="18"/>
    </w:rPr>
  </w:style>
  <w:style w:type="table" w:styleId="TableGrid">
    <w:name w:val="Table Grid"/>
    <w:basedOn w:val="TableNormal"/>
    <w:uiPriority w:val="59"/>
    <w:rsid w:val="005D330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52"/>
    <w:pPr>
      <w:ind w:left="720"/>
      <w:contextualSpacing/>
    </w:pPr>
  </w:style>
  <w:style w:type="character" w:styleId="Hyperlink">
    <w:name w:val="Hyperlink"/>
    <w:basedOn w:val="DefaultParagraphFont"/>
    <w:uiPriority w:val="99"/>
    <w:unhideWhenUsed/>
    <w:rsid w:val="007E2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20445">
      <w:bodyDiv w:val="1"/>
      <w:marLeft w:val="0"/>
      <w:marRight w:val="0"/>
      <w:marTop w:val="0"/>
      <w:marBottom w:val="0"/>
      <w:divBdr>
        <w:top w:val="none" w:sz="0" w:space="0" w:color="auto"/>
        <w:left w:val="none" w:sz="0" w:space="0" w:color="auto"/>
        <w:bottom w:val="none" w:sz="0" w:space="0" w:color="auto"/>
        <w:right w:val="none" w:sz="0" w:space="0" w:color="auto"/>
      </w:divBdr>
    </w:div>
    <w:div w:id="947663187">
      <w:bodyDiv w:val="1"/>
      <w:marLeft w:val="0"/>
      <w:marRight w:val="0"/>
      <w:marTop w:val="0"/>
      <w:marBottom w:val="0"/>
      <w:divBdr>
        <w:top w:val="none" w:sz="0" w:space="0" w:color="auto"/>
        <w:left w:val="none" w:sz="0" w:space="0" w:color="auto"/>
        <w:bottom w:val="none" w:sz="0" w:space="0" w:color="auto"/>
        <w:right w:val="none" w:sz="0" w:space="0" w:color="auto"/>
      </w:divBdr>
    </w:div>
    <w:div w:id="1638686061">
      <w:bodyDiv w:val="1"/>
      <w:marLeft w:val="0"/>
      <w:marRight w:val="0"/>
      <w:marTop w:val="0"/>
      <w:marBottom w:val="0"/>
      <w:divBdr>
        <w:top w:val="none" w:sz="0" w:space="0" w:color="auto"/>
        <w:left w:val="none" w:sz="0" w:space="0" w:color="auto"/>
        <w:bottom w:val="none" w:sz="0" w:space="0" w:color="auto"/>
        <w:right w:val="none" w:sz="0" w:space="0" w:color="auto"/>
      </w:divBdr>
    </w:div>
    <w:div w:id="184820527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healthstreamorglrndev-aspirusinc@aspirus.org" TargetMode="External"/><Relationship Id="rId3" Type="http://schemas.openxmlformats.org/officeDocument/2006/relationships/settings" Target="settings.xml"/><Relationship Id="rId7" Type="http://schemas.openxmlformats.org/officeDocument/2006/relationships/hyperlink" Target="mailto:healthstreamorglrndev-aspirusinc@aspiru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Marcia.Hallas@aspirus.org</Manager>
  <Company>Aspirus</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Marcia.Hallas@aspirus.org;Organizational Learning &amp; Development;Jonathan.Kuehn@aspirus.org</dc:creator>
  <cp:lastModifiedBy>Marcia Hallas</cp:lastModifiedBy>
  <cp:revision>12</cp:revision>
  <cp:lastPrinted>2021-04-08T15:26:00Z</cp:lastPrinted>
  <dcterms:created xsi:type="dcterms:W3CDTF">2024-08-28T16:18:00Z</dcterms:created>
  <dcterms:modified xsi:type="dcterms:W3CDTF">2024-08-29T15:36:00Z</dcterms:modified>
</cp:coreProperties>
</file>